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7E4B" w14:textId="251B6BE0" w:rsidR="001310F6" w:rsidRPr="005D45F3" w:rsidRDefault="00D07919" w:rsidP="001310F6">
      <w:pPr>
        <w:rPr>
          <w:rFonts w:ascii="Times New Roman" w:hAnsi="Times New Roman" w:cs="Times New Roman"/>
          <w:b/>
          <w:bCs/>
          <w:sz w:val="20"/>
          <w:szCs w:val="20"/>
        </w:rPr>
      </w:pPr>
      <w:r>
        <w:rPr>
          <w:rFonts w:ascii="Times New Roman" w:hAnsi="Times New Roman" w:cs="Times New Roman"/>
          <w:b/>
          <w:bCs/>
          <w:sz w:val="20"/>
          <w:szCs w:val="20"/>
        </w:rPr>
        <w:t>T</w:t>
      </w:r>
      <w:r w:rsidR="001310F6" w:rsidRPr="005D45F3">
        <w:rPr>
          <w:rFonts w:ascii="Times New Roman" w:hAnsi="Times New Roman" w:cs="Times New Roman"/>
          <w:b/>
          <w:bCs/>
          <w:sz w:val="20"/>
          <w:szCs w:val="20"/>
        </w:rPr>
        <w:t xml:space="preserve">o Submit: </w:t>
      </w:r>
      <w:r w:rsidR="001310F6" w:rsidRPr="005D45F3">
        <w:rPr>
          <w:rFonts w:ascii="Times New Roman" w:hAnsi="Times New Roman" w:cs="Times New Roman"/>
          <w:sz w:val="20"/>
          <w:szCs w:val="20"/>
        </w:rPr>
        <w:t xml:space="preserve">Email completed form to </w:t>
      </w:r>
      <w:hyperlink r:id="rId8" w:history="1">
        <w:hyperlink r:id="rId9" w:history="1">
          <w:r w:rsidR="001310F6" w:rsidRPr="005D45F3">
            <w:rPr>
              <w:rFonts w:ascii="Times New Roman" w:eastAsia="Times New Roman" w:hAnsi="Times New Roman" w:cs="Times New Roman"/>
              <w:color w:val="AB0203"/>
              <w:u w:val="single"/>
              <w:shd w:val="clear" w:color="auto" w:fill="FFFFFF"/>
            </w:rPr>
            <w:t>ehs@usd.</w:t>
          </w:r>
          <w:r w:rsidR="001310F6" w:rsidRPr="005D45F3">
            <w:rPr>
              <w:rFonts w:ascii="Times New Roman" w:eastAsia="Times New Roman" w:hAnsi="Times New Roman" w:cs="Times New Roman"/>
              <w:color w:val="AB0203"/>
              <w:shd w:val="clear" w:color="auto" w:fill="FFFFFF"/>
            </w:rPr>
            <w:t>edu</w:t>
          </w:r>
        </w:hyperlink>
      </w:hyperlink>
      <w:r w:rsidR="001310F6" w:rsidRPr="005D45F3">
        <w:rPr>
          <w:rFonts w:ascii="Times New Roman" w:eastAsia="Times New Roman" w:hAnsi="Times New Roman" w:cs="Times New Roman"/>
          <w:color w:val="AB0203"/>
          <w:shd w:val="clear" w:color="auto" w:fill="FFFFFF"/>
        </w:rPr>
        <w:t xml:space="preserve">. </w:t>
      </w:r>
      <w:r w:rsidR="001310F6" w:rsidRPr="005D45F3">
        <w:rPr>
          <w:rFonts w:ascii="Times New Roman" w:hAnsi="Times New Roman" w:cs="Times New Roman"/>
          <w:sz w:val="20"/>
          <w:szCs w:val="20"/>
        </w:rPr>
        <w:t>Pickup</w:t>
      </w:r>
      <w:r w:rsidR="001310F6" w:rsidRPr="005D45F3">
        <w:rPr>
          <w:rFonts w:ascii="Times New Roman" w:hAnsi="Times New Roman" w:cs="Times New Roman"/>
          <w:b/>
          <w:bCs/>
          <w:sz w:val="20"/>
          <w:szCs w:val="20"/>
        </w:rPr>
        <w:t xml:space="preserve"> will be completed within 2 weeks of receipt of this form by Environmental Health and Safety (EHS).</w:t>
      </w:r>
    </w:p>
    <w:p w14:paraId="32C24A66" w14:textId="77777777" w:rsidR="00DD2325" w:rsidRPr="005D45F3" w:rsidRDefault="00DD2325" w:rsidP="00DD2325">
      <w:pPr>
        <w:autoSpaceDE w:val="0"/>
        <w:autoSpaceDN w:val="0"/>
        <w:adjustRightInd w:val="0"/>
        <w:rPr>
          <w:rFonts w:ascii="Times New Roman" w:hAnsi="Times New Roman" w:cs="Times New Roman"/>
          <w:color w:val="000000"/>
        </w:rPr>
      </w:pPr>
    </w:p>
    <w:tbl>
      <w:tblPr>
        <w:tblW w:w="1073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3600"/>
        <w:gridCol w:w="3520"/>
      </w:tblGrid>
      <w:tr w:rsidR="00D07919" w:rsidRPr="005D45F3" w14:paraId="4D7D64B0" w14:textId="77777777" w:rsidTr="00D07919">
        <w:trPr>
          <w:trHeight w:val="88"/>
        </w:trPr>
        <w:tc>
          <w:tcPr>
            <w:tcW w:w="3613" w:type="dxa"/>
          </w:tcPr>
          <w:p w14:paraId="30532105" w14:textId="77777777" w:rsidR="00D07919" w:rsidRDefault="00D07919" w:rsidP="00DD232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Name</w:t>
            </w:r>
          </w:p>
          <w:p w14:paraId="620CEC9C" w14:textId="77777777" w:rsidR="00D07919" w:rsidRDefault="00D07919" w:rsidP="00DD2325">
            <w:pPr>
              <w:autoSpaceDE w:val="0"/>
              <w:autoSpaceDN w:val="0"/>
              <w:adjustRightInd w:val="0"/>
              <w:rPr>
                <w:rFonts w:ascii="Times New Roman" w:hAnsi="Times New Roman" w:cs="Times New Roman"/>
                <w:color w:val="000000"/>
                <w:sz w:val="20"/>
                <w:szCs w:val="20"/>
              </w:rPr>
            </w:pPr>
          </w:p>
          <w:p w14:paraId="62AD092A" w14:textId="00268D72" w:rsidR="00D07919" w:rsidRPr="005D45F3" w:rsidRDefault="00D07919" w:rsidP="00DD2325">
            <w:pPr>
              <w:autoSpaceDE w:val="0"/>
              <w:autoSpaceDN w:val="0"/>
              <w:adjustRightInd w:val="0"/>
              <w:rPr>
                <w:rFonts w:ascii="Times New Roman" w:hAnsi="Times New Roman" w:cs="Times New Roman"/>
                <w:color w:val="000000"/>
                <w:sz w:val="20"/>
                <w:szCs w:val="20"/>
              </w:rPr>
            </w:pPr>
          </w:p>
        </w:tc>
        <w:tc>
          <w:tcPr>
            <w:tcW w:w="3600" w:type="dxa"/>
          </w:tcPr>
          <w:p w14:paraId="23456F7E" w14:textId="24ED2EBF" w:rsidR="00D07919" w:rsidRPr="005D45F3" w:rsidRDefault="00D07919" w:rsidP="00DD232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Phone</w:t>
            </w:r>
          </w:p>
        </w:tc>
        <w:tc>
          <w:tcPr>
            <w:tcW w:w="3520" w:type="dxa"/>
          </w:tcPr>
          <w:p w14:paraId="701E17A1" w14:textId="69A66DCF" w:rsidR="00D07919" w:rsidRPr="005D45F3" w:rsidRDefault="00D07919" w:rsidP="00DD232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PI:</w:t>
            </w:r>
          </w:p>
        </w:tc>
      </w:tr>
    </w:tbl>
    <w:p w14:paraId="7948247F" w14:textId="77777777" w:rsidR="009A5F80" w:rsidRPr="005D45F3" w:rsidRDefault="009A5F80" w:rsidP="009A5F80">
      <w:pPr>
        <w:autoSpaceDE w:val="0"/>
        <w:autoSpaceDN w:val="0"/>
        <w:adjustRightInd w:val="0"/>
        <w:rPr>
          <w:rFonts w:ascii="Times New Roman" w:hAnsi="Times New Roman" w:cs="Times New Roman"/>
          <w:color w:val="000000"/>
          <w:sz w:val="28"/>
          <w:szCs w:val="28"/>
        </w:rPr>
      </w:pPr>
    </w:p>
    <w:tbl>
      <w:tblPr>
        <w:tblpPr w:leftFromText="180" w:rightFromText="180" w:vertAnchor="text" w:tblpX="-645"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9A5F80" w:rsidRPr="005D45F3" w14:paraId="0F7B437A" w14:textId="77777777" w:rsidTr="00D07919">
        <w:trPr>
          <w:trHeight w:val="1520"/>
        </w:trPr>
        <w:tc>
          <w:tcPr>
            <w:tcW w:w="10705" w:type="dxa"/>
          </w:tcPr>
          <w:p w14:paraId="736EF253" w14:textId="6745CA77" w:rsidR="009A5F80" w:rsidRDefault="009A5F80" w:rsidP="00D07919">
            <w:pPr>
              <w:autoSpaceDE w:val="0"/>
              <w:autoSpaceDN w:val="0"/>
              <w:adjustRightInd w:val="0"/>
              <w:rPr>
                <w:rFonts w:ascii="Times New Roman" w:hAnsi="Times New Roman" w:cs="Times New Roman"/>
                <w:color w:val="000000"/>
                <w:sz w:val="20"/>
                <w:szCs w:val="20"/>
              </w:rPr>
            </w:pPr>
            <w:r w:rsidRPr="005D45F3">
              <w:rPr>
                <w:rFonts w:ascii="Times New Roman" w:hAnsi="Times New Roman" w:cs="Times New Roman"/>
                <w:color w:val="000000"/>
                <w:sz w:val="20"/>
                <w:szCs w:val="20"/>
              </w:rPr>
              <w:t>Location of waste containers (building name</w:t>
            </w:r>
            <w:r w:rsidR="00D07919">
              <w:rPr>
                <w:rFonts w:ascii="Times New Roman" w:hAnsi="Times New Roman" w:cs="Times New Roman"/>
                <w:color w:val="000000"/>
                <w:sz w:val="20"/>
                <w:szCs w:val="20"/>
              </w:rPr>
              <w:t>, lab number, location within the room</w:t>
            </w:r>
            <w:r w:rsidRPr="005D45F3">
              <w:rPr>
                <w:rFonts w:ascii="Times New Roman" w:hAnsi="Times New Roman" w:cs="Times New Roman"/>
                <w:color w:val="000000"/>
                <w:sz w:val="20"/>
                <w:szCs w:val="20"/>
              </w:rPr>
              <w:t>):</w:t>
            </w:r>
          </w:p>
          <w:p w14:paraId="5196140D" w14:textId="77777777" w:rsidR="00D07919" w:rsidRDefault="00D07919" w:rsidP="00D07919">
            <w:pPr>
              <w:autoSpaceDE w:val="0"/>
              <w:autoSpaceDN w:val="0"/>
              <w:adjustRightInd w:val="0"/>
              <w:rPr>
                <w:rFonts w:ascii="Times New Roman" w:hAnsi="Times New Roman" w:cs="Times New Roman"/>
                <w:color w:val="000000"/>
                <w:sz w:val="20"/>
                <w:szCs w:val="20"/>
              </w:rPr>
            </w:pPr>
          </w:p>
          <w:p w14:paraId="5FAD1E96" w14:textId="025352A4" w:rsidR="00D07919" w:rsidRPr="005D45F3" w:rsidRDefault="00D07919" w:rsidP="00D07919">
            <w:pPr>
              <w:autoSpaceDE w:val="0"/>
              <w:autoSpaceDN w:val="0"/>
              <w:adjustRightInd w:val="0"/>
              <w:rPr>
                <w:rFonts w:ascii="Times New Roman" w:hAnsi="Times New Roman" w:cs="Times New Roman"/>
                <w:color w:val="000000"/>
                <w:sz w:val="20"/>
                <w:szCs w:val="20"/>
              </w:rPr>
            </w:pPr>
          </w:p>
        </w:tc>
      </w:tr>
    </w:tbl>
    <w:p w14:paraId="5BB7EC74" w14:textId="77777777" w:rsidR="00D07919" w:rsidRDefault="00D07919" w:rsidP="009A5F80">
      <w:pPr>
        <w:autoSpaceDE w:val="0"/>
        <w:autoSpaceDN w:val="0"/>
        <w:adjustRightInd w:val="0"/>
        <w:rPr>
          <w:rFonts w:ascii="Times New Roman" w:hAnsi="Times New Roman" w:cs="Times New Roman"/>
          <w:color w:val="000000"/>
        </w:rPr>
      </w:pPr>
      <w:r>
        <w:rPr>
          <w:rFonts w:ascii="Times New Roman" w:hAnsi="Times New Roman" w:cs="Times New Roman"/>
          <w:color w:val="000000"/>
        </w:rPr>
        <w:br w:type="textWrapping" w:clear="all"/>
      </w:r>
    </w:p>
    <w:p w14:paraId="1ED6A2F1" w14:textId="3DBB7658" w:rsidR="009A5F80" w:rsidRDefault="009A5F80" w:rsidP="009A5F80">
      <w:pPr>
        <w:autoSpaceDE w:val="0"/>
        <w:autoSpaceDN w:val="0"/>
        <w:adjustRightInd w:val="0"/>
        <w:rPr>
          <w:rFonts w:ascii="Times New Roman" w:hAnsi="Times New Roman" w:cs="Times New Roman"/>
          <w:color w:val="000000"/>
        </w:rPr>
      </w:pPr>
    </w:p>
    <w:tbl>
      <w:tblPr>
        <w:tblStyle w:val="TableGrid"/>
        <w:tblpPr w:leftFromText="180" w:rightFromText="180" w:vertAnchor="text" w:horzAnchor="margin" w:tblpXSpec="center" w:tblpY="67"/>
        <w:tblW w:w="10705" w:type="dxa"/>
        <w:tblLook w:val="04A0" w:firstRow="1" w:lastRow="0" w:firstColumn="1" w:lastColumn="0" w:noHBand="0" w:noVBand="1"/>
      </w:tblPr>
      <w:tblGrid>
        <w:gridCol w:w="4633"/>
        <w:gridCol w:w="1303"/>
        <w:gridCol w:w="1442"/>
        <w:gridCol w:w="1495"/>
        <w:gridCol w:w="1832"/>
      </w:tblGrid>
      <w:tr w:rsidR="00D07919" w:rsidRPr="005D45F3" w14:paraId="1FD3073A" w14:textId="77777777" w:rsidTr="00D07919">
        <w:trPr>
          <w:trHeight w:val="437"/>
        </w:trPr>
        <w:tc>
          <w:tcPr>
            <w:tcW w:w="4633" w:type="dxa"/>
          </w:tcPr>
          <w:p w14:paraId="5DB0EE33" w14:textId="77777777" w:rsidR="00D07919" w:rsidRPr="005D45F3" w:rsidRDefault="00D07919" w:rsidP="00D73821">
            <w:pPr>
              <w:rPr>
                <w:rFonts w:ascii="Times New Roman" w:eastAsia="Times New Roman" w:hAnsi="Times New Roman" w:cs="Times New Roman"/>
                <w:b/>
                <w:bCs/>
                <w:sz w:val="22"/>
                <w:szCs w:val="22"/>
              </w:rPr>
            </w:pPr>
            <w:r w:rsidRPr="005D45F3">
              <w:rPr>
                <w:rFonts w:ascii="Times New Roman" w:eastAsia="Times New Roman" w:hAnsi="Times New Roman" w:cs="Times New Roman"/>
                <w:b/>
                <w:bCs/>
                <w:sz w:val="22"/>
                <w:szCs w:val="22"/>
              </w:rPr>
              <w:t>Chemical name and Concentration</w:t>
            </w:r>
          </w:p>
          <w:p w14:paraId="67AF1449" w14:textId="77777777" w:rsidR="00D07919" w:rsidRPr="005D45F3" w:rsidRDefault="00D07919" w:rsidP="00D73821">
            <w:pPr>
              <w:rPr>
                <w:rFonts w:ascii="Times New Roman" w:eastAsia="Times New Roman" w:hAnsi="Times New Roman" w:cs="Times New Roman"/>
                <w:b/>
                <w:bCs/>
              </w:rPr>
            </w:pPr>
            <w:r w:rsidRPr="005D45F3">
              <w:rPr>
                <w:rFonts w:ascii="Times New Roman" w:eastAsia="Times New Roman" w:hAnsi="Times New Roman" w:cs="Times New Roman"/>
                <w:b/>
                <w:bCs/>
                <w:sz w:val="22"/>
                <w:szCs w:val="22"/>
              </w:rPr>
              <w:t>(Do not abbreviate)</w:t>
            </w:r>
          </w:p>
        </w:tc>
        <w:tc>
          <w:tcPr>
            <w:tcW w:w="1303" w:type="dxa"/>
          </w:tcPr>
          <w:p w14:paraId="42AA14BA" w14:textId="77777777" w:rsidR="00D07919" w:rsidRPr="005D45F3" w:rsidRDefault="00D07919" w:rsidP="00D73821">
            <w:pPr>
              <w:rPr>
                <w:rFonts w:ascii="Times New Roman" w:eastAsia="Times New Roman" w:hAnsi="Times New Roman" w:cs="Times New Roman"/>
                <w:b/>
                <w:bCs/>
                <w:sz w:val="22"/>
                <w:szCs w:val="22"/>
              </w:rPr>
            </w:pPr>
            <w:r w:rsidRPr="005D45F3">
              <w:rPr>
                <w:rFonts w:ascii="Times New Roman" w:eastAsia="Times New Roman" w:hAnsi="Times New Roman" w:cs="Times New Roman"/>
                <w:b/>
                <w:bCs/>
                <w:sz w:val="22"/>
                <w:szCs w:val="22"/>
              </w:rPr>
              <w:t>Container Size</w:t>
            </w:r>
          </w:p>
        </w:tc>
        <w:tc>
          <w:tcPr>
            <w:tcW w:w="1442" w:type="dxa"/>
          </w:tcPr>
          <w:p w14:paraId="11EA061B" w14:textId="77777777" w:rsidR="00D07919" w:rsidRPr="005D45F3" w:rsidRDefault="00D07919" w:rsidP="00D73821">
            <w:pPr>
              <w:rPr>
                <w:rFonts w:ascii="Times New Roman" w:eastAsia="Times New Roman" w:hAnsi="Times New Roman" w:cs="Times New Roman"/>
                <w:b/>
                <w:bCs/>
                <w:sz w:val="22"/>
                <w:szCs w:val="22"/>
              </w:rPr>
            </w:pPr>
            <w:r w:rsidRPr="005D45F3">
              <w:rPr>
                <w:rFonts w:ascii="Times New Roman" w:eastAsia="Times New Roman" w:hAnsi="Times New Roman" w:cs="Times New Roman"/>
                <w:b/>
                <w:bCs/>
                <w:sz w:val="22"/>
                <w:szCs w:val="22"/>
              </w:rPr>
              <w:t>Number of Containers</w:t>
            </w:r>
          </w:p>
        </w:tc>
        <w:tc>
          <w:tcPr>
            <w:tcW w:w="1495" w:type="dxa"/>
          </w:tcPr>
          <w:p w14:paraId="59F8E7D0" w14:textId="77777777" w:rsidR="00D07919" w:rsidRPr="005D45F3" w:rsidRDefault="00D07919" w:rsidP="00D73821">
            <w:pPr>
              <w:rPr>
                <w:rFonts w:ascii="Times New Roman" w:eastAsia="Times New Roman" w:hAnsi="Times New Roman" w:cs="Times New Roman"/>
                <w:b/>
                <w:bCs/>
                <w:sz w:val="28"/>
                <w:szCs w:val="28"/>
              </w:rPr>
            </w:pPr>
            <w:r w:rsidRPr="005D45F3">
              <w:rPr>
                <w:rFonts w:ascii="Times New Roman" w:eastAsia="Times New Roman" w:hAnsi="Times New Roman" w:cs="Times New Roman"/>
                <w:b/>
                <w:bCs/>
                <w:sz w:val="22"/>
                <w:szCs w:val="22"/>
              </w:rPr>
              <w:t>Net amount in container</w:t>
            </w:r>
          </w:p>
        </w:tc>
        <w:tc>
          <w:tcPr>
            <w:tcW w:w="1832" w:type="dxa"/>
          </w:tcPr>
          <w:p w14:paraId="3CE204A2" w14:textId="77777777" w:rsidR="00D07919" w:rsidRPr="005D45F3" w:rsidRDefault="00D07919" w:rsidP="00D73821">
            <w:pPr>
              <w:rPr>
                <w:rFonts w:ascii="Times New Roman" w:eastAsia="Times New Roman" w:hAnsi="Times New Roman" w:cs="Times New Roman"/>
                <w:b/>
                <w:bCs/>
                <w:sz w:val="22"/>
                <w:szCs w:val="22"/>
              </w:rPr>
            </w:pPr>
            <w:r w:rsidRPr="005D45F3">
              <w:rPr>
                <w:rFonts w:ascii="Times New Roman" w:eastAsia="Times New Roman" w:hAnsi="Times New Roman" w:cs="Times New Roman"/>
                <w:b/>
                <w:bCs/>
                <w:sz w:val="22"/>
                <w:szCs w:val="22"/>
              </w:rPr>
              <w:t>Physical state</w:t>
            </w:r>
          </w:p>
          <w:p w14:paraId="45D88E2C" w14:textId="77777777" w:rsidR="00D07919" w:rsidRPr="005D45F3" w:rsidRDefault="00D07919" w:rsidP="00D73821">
            <w:pPr>
              <w:rPr>
                <w:rFonts w:ascii="Times New Roman" w:eastAsia="Times New Roman" w:hAnsi="Times New Roman" w:cs="Times New Roman"/>
                <w:b/>
                <w:bCs/>
                <w:sz w:val="28"/>
                <w:szCs w:val="28"/>
              </w:rPr>
            </w:pPr>
            <w:r w:rsidRPr="005D45F3">
              <w:rPr>
                <w:rFonts w:ascii="Times New Roman" w:eastAsia="Times New Roman" w:hAnsi="Times New Roman" w:cs="Times New Roman"/>
                <w:b/>
                <w:bCs/>
                <w:sz w:val="22"/>
                <w:szCs w:val="22"/>
              </w:rPr>
              <w:t>(S, L, G)</w:t>
            </w:r>
          </w:p>
        </w:tc>
      </w:tr>
      <w:tr w:rsidR="00D07919" w:rsidRPr="005D45F3" w14:paraId="1D0F8AE5" w14:textId="77777777" w:rsidTr="00D07919">
        <w:trPr>
          <w:trHeight w:val="437"/>
        </w:trPr>
        <w:tc>
          <w:tcPr>
            <w:tcW w:w="4633" w:type="dxa"/>
          </w:tcPr>
          <w:p w14:paraId="7DC8FC5B"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2286296B"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0FEFB92D"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7A9FBBE0"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5CF779FB"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09E904AD" w14:textId="77777777" w:rsidTr="00D07919">
        <w:trPr>
          <w:trHeight w:val="417"/>
        </w:trPr>
        <w:tc>
          <w:tcPr>
            <w:tcW w:w="4633" w:type="dxa"/>
          </w:tcPr>
          <w:p w14:paraId="78503E91"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397D368A"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13A21B56"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4CFF657E"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7CE575E6"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33713B74" w14:textId="77777777" w:rsidTr="00D07919">
        <w:trPr>
          <w:trHeight w:val="437"/>
        </w:trPr>
        <w:tc>
          <w:tcPr>
            <w:tcW w:w="4633" w:type="dxa"/>
          </w:tcPr>
          <w:p w14:paraId="4B6507BC"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7DE69B8C"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12EA4B6A"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415BD73B"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7B5CD556"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25AED183" w14:textId="77777777" w:rsidTr="00D07919">
        <w:trPr>
          <w:trHeight w:val="437"/>
        </w:trPr>
        <w:tc>
          <w:tcPr>
            <w:tcW w:w="4633" w:type="dxa"/>
          </w:tcPr>
          <w:p w14:paraId="1A02AAAF"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735AB15F"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79537362"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117E69C5"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39AC6516"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1E5AC815" w14:textId="77777777" w:rsidTr="00D07919">
        <w:trPr>
          <w:trHeight w:val="437"/>
        </w:trPr>
        <w:tc>
          <w:tcPr>
            <w:tcW w:w="4633" w:type="dxa"/>
          </w:tcPr>
          <w:p w14:paraId="3EA8643C"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5D1A1CE0"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4DD2975D"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2305AA65"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2B66B5D7"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270F6B7C" w14:textId="77777777" w:rsidTr="00D07919">
        <w:trPr>
          <w:trHeight w:val="437"/>
        </w:trPr>
        <w:tc>
          <w:tcPr>
            <w:tcW w:w="4633" w:type="dxa"/>
          </w:tcPr>
          <w:p w14:paraId="1BBA9257"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5F8CDCBC"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39FCFCED"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397FE7C4"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7AEB119B"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150FC61E" w14:textId="77777777" w:rsidTr="00D07919">
        <w:trPr>
          <w:trHeight w:val="437"/>
        </w:trPr>
        <w:tc>
          <w:tcPr>
            <w:tcW w:w="4633" w:type="dxa"/>
          </w:tcPr>
          <w:p w14:paraId="159B3769"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7EA975EE"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461E33E8"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0FBA1C48"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71DBB731"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17C99BB0" w14:textId="77777777" w:rsidTr="00D07919">
        <w:trPr>
          <w:trHeight w:val="417"/>
        </w:trPr>
        <w:tc>
          <w:tcPr>
            <w:tcW w:w="4633" w:type="dxa"/>
          </w:tcPr>
          <w:p w14:paraId="1930355B"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697BB055"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4928A9A2"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38009640"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0990EC65"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772DFBF3" w14:textId="77777777" w:rsidTr="00D07919">
        <w:trPr>
          <w:trHeight w:val="437"/>
        </w:trPr>
        <w:tc>
          <w:tcPr>
            <w:tcW w:w="4633" w:type="dxa"/>
          </w:tcPr>
          <w:p w14:paraId="2C665CDF"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6E0597BF"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679B7830"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525EC8BD"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1947EBCE" w14:textId="77777777" w:rsidR="00D07919" w:rsidRPr="005D45F3" w:rsidRDefault="00D07919" w:rsidP="00D07919">
            <w:pPr>
              <w:rPr>
                <w:rFonts w:ascii="Times New Roman" w:eastAsia="Times New Roman" w:hAnsi="Times New Roman" w:cs="Times New Roman"/>
                <w:sz w:val="28"/>
                <w:szCs w:val="28"/>
              </w:rPr>
            </w:pPr>
          </w:p>
        </w:tc>
      </w:tr>
      <w:tr w:rsidR="00D07919" w:rsidRPr="005D45F3" w14:paraId="07732EFF" w14:textId="77777777" w:rsidTr="00D07919">
        <w:trPr>
          <w:trHeight w:val="437"/>
        </w:trPr>
        <w:tc>
          <w:tcPr>
            <w:tcW w:w="4633" w:type="dxa"/>
          </w:tcPr>
          <w:p w14:paraId="3A27895F" w14:textId="77777777" w:rsidR="00D07919" w:rsidRPr="005D45F3" w:rsidRDefault="00D07919" w:rsidP="00D07919">
            <w:pPr>
              <w:rPr>
                <w:rFonts w:ascii="Times New Roman" w:eastAsia="Times New Roman" w:hAnsi="Times New Roman" w:cs="Times New Roman"/>
                <w:sz w:val="28"/>
                <w:szCs w:val="28"/>
              </w:rPr>
            </w:pPr>
          </w:p>
        </w:tc>
        <w:tc>
          <w:tcPr>
            <w:tcW w:w="1303" w:type="dxa"/>
          </w:tcPr>
          <w:p w14:paraId="19CDD12A" w14:textId="77777777" w:rsidR="00D07919" w:rsidRPr="005D45F3" w:rsidRDefault="00D07919" w:rsidP="00D07919">
            <w:pPr>
              <w:rPr>
                <w:rFonts w:ascii="Times New Roman" w:eastAsia="Times New Roman" w:hAnsi="Times New Roman" w:cs="Times New Roman"/>
                <w:sz w:val="28"/>
                <w:szCs w:val="28"/>
              </w:rPr>
            </w:pPr>
          </w:p>
        </w:tc>
        <w:tc>
          <w:tcPr>
            <w:tcW w:w="1442" w:type="dxa"/>
          </w:tcPr>
          <w:p w14:paraId="07DDEEF6" w14:textId="77777777" w:rsidR="00D07919" w:rsidRPr="005D45F3" w:rsidRDefault="00D07919" w:rsidP="00D07919">
            <w:pPr>
              <w:rPr>
                <w:rFonts w:ascii="Times New Roman" w:eastAsia="Times New Roman" w:hAnsi="Times New Roman" w:cs="Times New Roman"/>
                <w:sz w:val="28"/>
                <w:szCs w:val="28"/>
              </w:rPr>
            </w:pPr>
          </w:p>
        </w:tc>
        <w:tc>
          <w:tcPr>
            <w:tcW w:w="1495" w:type="dxa"/>
          </w:tcPr>
          <w:p w14:paraId="6824F768" w14:textId="77777777" w:rsidR="00D07919" w:rsidRPr="005D45F3" w:rsidRDefault="00D07919" w:rsidP="00D07919">
            <w:pPr>
              <w:rPr>
                <w:rFonts w:ascii="Times New Roman" w:eastAsia="Times New Roman" w:hAnsi="Times New Roman" w:cs="Times New Roman"/>
                <w:sz w:val="28"/>
                <w:szCs w:val="28"/>
              </w:rPr>
            </w:pPr>
          </w:p>
        </w:tc>
        <w:tc>
          <w:tcPr>
            <w:tcW w:w="1832" w:type="dxa"/>
          </w:tcPr>
          <w:p w14:paraId="6D3438C7" w14:textId="77777777" w:rsidR="00D07919" w:rsidRPr="005D45F3" w:rsidRDefault="00D07919" w:rsidP="00D07919">
            <w:pPr>
              <w:rPr>
                <w:rFonts w:ascii="Times New Roman" w:eastAsia="Times New Roman" w:hAnsi="Times New Roman" w:cs="Times New Roman"/>
                <w:sz w:val="28"/>
                <w:szCs w:val="28"/>
              </w:rPr>
            </w:pPr>
          </w:p>
        </w:tc>
      </w:tr>
    </w:tbl>
    <w:p w14:paraId="47958D37" w14:textId="65098E12" w:rsidR="00D07919" w:rsidRDefault="00D07919" w:rsidP="009A5F80">
      <w:pPr>
        <w:autoSpaceDE w:val="0"/>
        <w:autoSpaceDN w:val="0"/>
        <w:adjustRightInd w:val="0"/>
        <w:rPr>
          <w:rFonts w:ascii="Times New Roman" w:hAnsi="Times New Roman" w:cs="Times New Roman"/>
          <w:color w:val="000000"/>
        </w:rPr>
      </w:pPr>
    </w:p>
    <w:tbl>
      <w:tblPr>
        <w:tblStyle w:val="TableGrid"/>
        <w:tblpPr w:leftFromText="180" w:rightFromText="180" w:vertAnchor="text" w:horzAnchor="margin" w:tblpXSpec="center" w:tblpY="14"/>
        <w:tblW w:w="10795" w:type="dxa"/>
        <w:tblLook w:val="04A0" w:firstRow="1" w:lastRow="0" w:firstColumn="1" w:lastColumn="0" w:noHBand="0" w:noVBand="1"/>
      </w:tblPr>
      <w:tblGrid>
        <w:gridCol w:w="5319"/>
        <w:gridCol w:w="5476"/>
      </w:tblGrid>
      <w:tr w:rsidR="00D07919" w14:paraId="74B35C0E" w14:textId="77777777" w:rsidTr="00D07919">
        <w:trPr>
          <w:trHeight w:val="978"/>
        </w:trPr>
        <w:tc>
          <w:tcPr>
            <w:tcW w:w="5319" w:type="dxa"/>
          </w:tcPr>
          <w:p w14:paraId="72160BE1" w14:textId="77777777" w:rsidR="00D07919" w:rsidRDefault="00D07919" w:rsidP="00D0791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Signature </w:t>
            </w:r>
          </w:p>
        </w:tc>
        <w:tc>
          <w:tcPr>
            <w:tcW w:w="5476" w:type="dxa"/>
          </w:tcPr>
          <w:p w14:paraId="52D29BE4" w14:textId="77777777" w:rsidR="00D07919" w:rsidRDefault="00D07919" w:rsidP="00D0791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Date </w:t>
            </w:r>
          </w:p>
        </w:tc>
      </w:tr>
    </w:tbl>
    <w:p w14:paraId="3A9C2A3F" w14:textId="140D8755" w:rsidR="00D07919" w:rsidRDefault="00D07919" w:rsidP="009A5F80">
      <w:pPr>
        <w:autoSpaceDE w:val="0"/>
        <w:autoSpaceDN w:val="0"/>
        <w:adjustRightInd w:val="0"/>
        <w:rPr>
          <w:rFonts w:ascii="Times New Roman" w:hAnsi="Times New Roman" w:cs="Times New Roman"/>
          <w:color w:val="000000"/>
        </w:rPr>
      </w:pPr>
    </w:p>
    <w:p w14:paraId="660D968D" w14:textId="325594C9" w:rsidR="00D07919" w:rsidRDefault="00D07919" w:rsidP="009A5F80">
      <w:pPr>
        <w:autoSpaceDE w:val="0"/>
        <w:autoSpaceDN w:val="0"/>
        <w:adjustRightInd w:val="0"/>
        <w:rPr>
          <w:rFonts w:ascii="Times New Roman" w:hAnsi="Times New Roman" w:cs="Times New Roman"/>
          <w:color w:val="000000"/>
        </w:rPr>
      </w:pPr>
    </w:p>
    <w:tbl>
      <w:tblPr>
        <w:tblStyle w:val="TableGrid"/>
        <w:tblpPr w:leftFromText="180" w:rightFromText="180" w:vertAnchor="text" w:horzAnchor="page" w:tblpX="721" w:tblpY="96"/>
        <w:tblW w:w="10795" w:type="dxa"/>
        <w:tblLook w:val="04A0" w:firstRow="1" w:lastRow="0" w:firstColumn="1" w:lastColumn="0" w:noHBand="0" w:noVBand="1"/>
      </w:tblPr>
      <w:tblGrid>
        <w:gridCol w:w="5305"/>
        <w:gridCol w:w="5490"/>
      </w:tblGrid>
      <w:tr w:rsidR="00D07919" w14:paraId="18F72CC9" w14:textId="77777777" w:rsidTr="009017AB">
        <w:trPr>
          <w:trHeight w:val="949"/>
        </w:trPr>
        <w:tc>
          <w:tcPr>
            <w:tcW w:w="5305" w:type="dxa"/>
          </w:tcPr>
          <w:p w14:paraId="63568BFC" w14:textId="033C76CE" w:rsidR="00D07919" w:rsidRDefault="00D07919" w:rsidP="00D07919">
            <w:pPr>
              <w:autoSpaceDE w:val="0"/>
              <w:autoSpaceDN w:val="0"/>
              <w:adjustRightInd w:val="0"/>
              <w:rPr>
                <w:rFonts w:ascii="Times New Roman" w:hAnsi="Times New Roman" w:cs="Times New Roman"/>
                <w:color w:val="000000"/>
              </w:rPr>
            </w:pPr>
            <w:r>
              <w:rPr>
                <w:rFonts w:ascii="Times New Roman" w:hAnsi="Times New Roman" w:cs="Times New Roman"/>
                <w:color w:val="000000"/>
              </w:rPr>
              <w:t>Date received by EHS</w:t>
            </w:r>
            <w:r>
              <w:rPr>
                <w:rFonts w:ascii="Times New Roman" w:hAnsi="Times New Roman" w:cs="Times New Roman"/>
                <w:color w:val="000000"/>
              </w:rPr>
              <w:t>:</w:t>
            </w:r>
            <w:r>
              <w:rPr>
                <w:rFonts w:ascii="Times New Roman" w:hAnsi="Times New Roman" w:cs="Times New Roman"/>
                <w:color w:val="000000"/>
              </w:rPr>
              <w:t xml:space="preserve"> </w:t>
            </w:r>
          </w:p>
        </w:tc>
        <w:tc>
          <w:tcPr>
            <w:tcW w:w="5490" w:type="dxa"/>
          </w:tcPr>
          <w:p w14:paraId="0A45205C" w14:textId="01251F07" w:rsidR="00D07919" w:rsidRDefault="00D07919" w:rsidP="00D07919">
            <w:pPr>
              <w:autoSpaceDE w:val="0"/>
              <w:autoSpaceDN w:val="0"/>
              <w:adjustRightInd w:val="0"/>
              <w:rPr>
                <w:rFonts w:ascii="Times New Roman" w:hAnsi="Times New Roman" w:cs="Times New Roman"/>
                <w:color w:val="000000"/>
              </w:rPr>
            </w:pPr>
            <w:r>
              <w:rPr>
                <w:rFonts w:ascii="Times New Roman" w:hAnsi="Times New Roman" w:cs="Times New Roman"/>
                <w:color w:val="000000"/>
              </w:rPr>
              <w:t>Date of pick up:</w:t>
            </w:r>
          </w:p>
        </w:tc>
      </w:tr>
    </w:tbl>
    <w:p w14:paraId="753AB9D3" w14:textId="77777777" w:rsidR="001905E9" w:rsidRDefault="001905E9" w:rsidP="009A5F80">
      <w:pPr>
        <w:rPr>
          <w:rFonts w:ascii="Times New Roman" w:eastAsia="Times New Roman" w:hAnsi="Times New Roman" w:cs="Times New Roman"/>
          <w:sz w:val="28"/>
          <w:szCs w:val="28"/>
        </w:rPr>
      </w:pPr>
    </w:p>
    <w:p w14:paraId="25174E40" w14:textId="77777777" w:rsidR="00D07919" w:rsidRDefault="00D07919" w:rsidP="002F7B4D">
      <w:pPr>
        <w:pStyle w:val="Default"/>
        <w:rPr>
          <w:rFonts w:ascii="Times New Roman" w:hAnsi="Times New Roman" w:cs="Times New Roman"/>
          <w:b/>
          <w:bCs/>
          <w:sz w:val="28"/>
          <w:szCs w:val="28"/>
        </w:rPr>
      </w:pPr>
    </w:p>
    <w:p w14:paraId="1AB9D515" w14:textId="01F1675F" w:rsidR="002F7B4D" w:rsidRPr="005D45F3" w:rsidRDefault="002F7B4D" w:rsidP="002F7B4D">
      <w:pPr>
        <w:pStyle w:val="Default"/>
        <w:rPr>
          <w:rFonts w:ascii="Times New Roman" w:hAnsi="Times New Roman" w:cs="Times New Roman"/>
          <w:sz w:val="28"/>
          <w:szCs w:val="28"/>
        </w:rPr>
      </w:pPr>
      <w:r w:rsidRPr="005D45F3">
        <w:rPr>
          <w:rFonts w:ascii="Times New Roman" w:hAnsi="Times New Roman" w:cs="Times New Roman"/>
          <w:b/>
          <w:bCs/>
          <w:sz w:val="28"/>
          <w:szCs w:val="28"/>
        </w:rPr>
        <w:lastRenderedPageBreak/>
        <w:t xml:space="preserve">Instructions for USD Chemical Waste Disposal Request </w:t>
      </w:r>
    </w:p>
    <w:p w14:paraId="663051C8" w14:textId="77777777" w:rsidR="002F7B4D" w:rsidRPr="005D45F3" w:rsidRDefault="002F7B4D" w:rsidP="002F7B4D">
      <w:pPr>
        <w:pStyle w:val="Default"/>
        <w:rPr>
          <w:rFonts w:ascii="Times New Roman" w:hAnsi="Times New Roman" w:cs="Times New Roman"/>
          <w:sz w:val="23"/>
          <w:szCs w:val="23"/>
        </w:rPr>
      </w:pPr>
      <w:r w:rsidRPr="005D45F3">
        <w:rPr>
          <w:rFonts w:ascii="Times New Roman" w:hAnsi="Times New Roman" w:cs="Times New Roman"/>
          <w:b/>
          <w:bCs/>
          <w:sz w:val="23"/>
          <w:szCs w:val="23"/>
        </w:rPr>
        <w:t xml:space="preserve">General Guidelines </w:t>
      </w:r>
    </w:p>
    <w:p w14:paraId="2CA7D086" w14:textId="65D6CD58" w:rsidR="002F7B4D"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 xml:space="preserve">Collect chemical waste in an empty chemical reagent container which is chemically compatible, in good condition and has a securely fitting lid.  Properly label the container with a Hazardous Waste label as soon as the first drop of waste has been added. </w:t>
      </w:r>
    </w:p>
    <w:p w14:paraId="3CF77634" w14:textId="511098B0" w:rsidR="002F7B4D"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 xml:space="preserve">Request Hazardous Waste labels from EHS by email. </w:t>
      </w:r>
    </w:p>
    <w:p w14:paraId="7C7E7457" w14:textId="188FF76F" w:rsidR="002F7B4D"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 xml:space="preserve">Fill containers to no more than 90 percent capacity to allow for expansion of the liquid at elevated temperatures. </w:t>
      </w:r>
    </w:p>
    <w:p w14:paraId="1A422A70" w14:textId="2CE6425A" w:rsidR="002F7B4D" w:rsidRPr="005D45F3" w:rsidRDefault="002F7B4D" w:rsidP="001310F6">
      <w:pPr>
        <w:pStyle w:val="Default"/>
        <w:numPr>
          <w:ilvl w:val="0"/>
          <w:numId w:val="2"/>
        </w:numPr>
        <w:spacing w:after="115"/>
        <w:rPr>
          <w:rFonts w:ascii="Times New Roman" w:hAnsi="Times New Roman" w:cs="Times New Roman"/>
          <w:sz w:val="20"/>
          <w:szCs w:val="20"/>
        </w:rPr>
      </w:pPr>
      <w:proofErr w:type="gramStart"/>
      <w:r w:rsidRPr="005D45F3">
        <w:rPr>
          <w:rFonts w:ascii="Times New Roman" w:hAnsi="Times New Roman" w:cs="Times New Roman"/>
          <w:sz w:val="20"/>
          <w:szCs w:val="20"/>
        </w:rPr>
        <w:t>Keep chemical waste container closed at all times</w:t>
      </w:r>
      <w:proofErr w:type="gramEnd"/>
      <w:r w:rsidRPr="005D45F3">
        <w:rPr>
          <w:rFonts w:ascii="Times New Roman" w:hAnsi="Times New Roman" w:cs="Times New Roman"/>
          <w:sz w:val="20"/>
          <w:szCs w:val="20"/>
        </w:rPr>
        <w:t xml:space="preserve"> except when adding or removing waste. </w:t>
      </w:r>
    </w:p>
    <w:p w14:paraId="1C90A971" w14:textId="2C67566C" w:rsidR="00933641"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Chemical waste containers will not be picked up if they are leaking, have improper lids, are completely full, or if the outside of the container is grossly contaminated. Transfer chemical waste to a suitable container whenever necessary.</w:t>
      </w:r>
    </w:p>
    <w:p w14:paraId="25B27A11" w14:textId="188C32B7" w:rsidR="002F7B4D"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 xml:space="preserve">Segregate solid debris (pipette tips) from liquid waste containers whenever practical. All liquids must be free of solid debris </w:t>
      </w:r>
      <w:proofErr w:type="gramStart"/>
      <w:r w:rsidRPr="005D45F3">
        <w:rPr>
          <w:rFonts w:ascii="Times New Roman" w:hAnsi="Times New Roman" w:cs="Times New Roman"/>
          <w:sz w:val="20"/>
          <w:szCs w:val="20"/>
        </w:rPr>
        <w:t>in order to</w:t>
      </w:r>
      <w:proofErr w:type="gramEnd"/>
      <w:r w:rsidRPr="005D45F3">
        <w:rPr>
          <w:rFonts w:ascii="Times New Roman" w:hAnsi="Times New Roman" w:cs="Times New Roman"/>
          <w:sz w:val="20"/>
          <w:szCs w:val="20"/>
        </w:rPr>
        <w:t xml:space="preserve"> facilitate the bulking of waste solvents. </w:t>
      </w:r>
    </w:p>
    <w:p w14:paraId="4B019373" w14:textId="55825CE9" w:rsidR="002F7B4D"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 xml:space="preserve">Segregate sharps, hypodermics, razors, and needles and collect them in red plastic sharps bucket. Discard full sharps buckets by locking the lid and placing them into the plastic biohazard tub lined with a red bag. </w:t>
      </w:r>
    </w:p>
    <w:p w14:paraId="1682823D" w14:textId="05334CF6" w:rsidR="002F7B4D" w:rsidRPr="005D45F3" w:rsidRDefault="002F7B4D" w:rsidP="001310F6">
      <w:pPr>
        <w:pStyle w:val="Default"/>
        <w:numPr>
          <w:ilvl w:val="0"/>
          <w:numId w:val="2"/>
        </w:numPr>
        <w:spacing w:after="115"/>
        <w:rPr>
          <w:rFonts w:ascii="Times New Roman" w:hAnsi="Times New Roman" w:cs="Times New Roman"/>
          <w:sz w:val="20"/>
          <w:szCs w:val="20"/>
        </w:rPr>
      </w:pPr>
      <w:r w:rsidRPr="005D45F3">
        <w:rPr>
          <w:rFonts w:ascii="Times New Roman" w:hAnsi="Times New Roman" w:cs="Times New Roman"/>
          <w:sz w:val="20"/>
          <w:szCs w:val="20"/>
        </w:rPr>
        <w:t xml:space="preserve">Segregate trace contaminated wastes from concentrated waste products whenever practical. Trace contaminated solid wastes which are extremely toxic or carcinogenic must be collected in a sealed plastic bucket or clear plastic bag. Apply a Hazardous Waste label to the outside of each container. </w:t>
      </w:r>
    </w:p>
    <w:p w14:paraId="36CC10BB" w14:textId="1C1C2594" w:rsidR="002F7B4D" w:rsidRPr="005D45F3" w:rsidRDefault="002F7B4D" w:rsidP="001310F6">
      <w:pPr>
        <w:pStyle w:val="Default"/>
        <w:numPr>
          <w:ilvl w:val="0"/>
          <w:numId w:val="2"/>
        </w:numPr>
        <w:rPr>
          <w:rFonts w:ascii="Times New Roman" w:hAnsi="Times New Roman" w:cs="Times New Roman"/>
          <w:sz w:val="20"/>
          <w:szCs w:val="20"/>
        </w:rPr>
      </w:pPr>
      <w:r w:rsidRPr="005D45F3">
        <w:rPr>
          <w:rFonts w:ascii="Times New Roman" w:hAnsi="Times New Roman" w:cs="Times New Roman"/>
          <w:sz w:val="20"/>
          <w:szCs w:val="20"/>
        </w:rPr>
        <w:t xml:space="preserve">Inspection of </w:t>
      </w:r>
      <w:proofErr w:type="gramStart"/>
      <w:r w:rsidRPr="005D45F3">
        <w:rPr>
          <w:rFonts w:ascii="Times New Roman" w:hAnsi="Times New Roman" w:cs="Times New Roman"/>
          <w:sz w:val="20"/>
          <w:szCs w:val="20"/>
        </w:rPr>
        <w:t>all of</w:t>
      </w:r>
      <w:proofErr w:type="gramEnd"/>
      <w:r w:rsidRPr="005D45F3">
        <w:rPr>
          <w:rFonts w:ascii="Times New Roman" w:hAnsi="Times New Roman" w:cs="Times New Roman"/>
          <w:sz w:val="20"/>
          <w:szCs w:val="20"/>
        </w:rPr>
        <w:t xml:space="preserve"> chemical waste containers is required once a week to detect leaks. Chemical waste must be transferred from leaking containers immediately to another empty reagent container in good condition. Weekly inspections must be documented on the Satellite Accumulation Area Inspection Log. </w:t>
      </w:r>
    </w:p>
    <w:p w14:paraId="4D8BA723" w14:textId="30C04013" w:rsidR="002F7B4D" w:rsidRPr="005D45F3" w:rsidRDefault="002F7B4D" w:rsidP="009A5F80">
      <w:pPr>
        <w:rPr>
          <w:rFonts w:ascii="Times New Roman" w:eastAsia="Times New Roman" w:hAnsi="Times New Roman" w:cs="Times New Roman"/>
          <w:sz w:val="28"/>
          <w:szCs w:val="28"/>
        </w:rPr>
      </w:pPr>
    </w:p>
    <w:p w14:paraId="44B6E1AB" w14:textId="77777777" w:rsidR="002F7B4D" w:rsidRPr="005D45F3" w:rsidRDefault="002F7B4D" w:rsidP="002F7B4D">
      <w:pPr>
        <w:pStyle w:val="Default"/>
        <w:rPr>
          <w:rFonts w:ascii="Times New Roman" w:hAnsi="Times New Roman" w:cs="Times New Roman"/>
          <w:sz w:val="23"/>
          <w:szCs w:val="23"/>
        </w:rPr>
      </w:pPr>
      <w:r w:rsidRPr="005D45F3">
        <w:rPr>
          <w:rFonts w:ascii="Times New Roman" w:hAnsi="Times New Roman" w:cs="Times New Roman"/>
          <w:b/>
          <w:bCs/>
          <w:sz w:val="23"/>
          <w:szCs w:val="23"/>
        </w:rPr>
        <w:t xml:space="preserve">Completing the Chemical Waste Disposal Request </w:t>
      </w:r>
    </w:p>
    <w:p w14:paraId="36FC23C8" w14:textId="19891B13" w:rsidR="002F7B4D" w:rsidRPr="005D45F3" w:rsidRDefault="002F7B4D" w:rsidP="002F7B4D">
      <w:pPr>
        <w:pStyle w:val="Default"/>
        <w:spacing w:after="115"/>
        <w:rPr>
          <w:rFonts w:ascii="Times New Roman" w:hAnsi="Times New Roman" w:cs="Times New Roman"/>
          <w:sz w:val="20"/>
          <w:szCs w:val="20"/>
        </w:rPr>
      </w:pPr>
      <w:r w:rsidRPr="005D45F3">
        <w:rPr>
          <w:rFonts w:ascii="Times New Roman" w:hAnsi="Times New Roman" w:cs="Times New Roman"/>
          <w:sz w:val="20"/>
          <w:szCs w:val="20"/>
        </w:rPr>
        <w:t xml:space="preserve">. </w:t>
      </w:r>
    </w:p>
    <w:p w14:paraId="01F56E27" w14:textId="2D6E3840" w:rsidR="002F7B4D" w:rsidRPr="005D45F3" w:rsidRDefault="002F7B4D" w:rsidP="001310F6">
      <w:pPr>
        <w:pStyle w:val="Default"/>
        <w:numPr>
          <w:ilvl w:val="0"/>
          <w:numId w:val="3"/>
        </w:numPr>
        <w:spacing w:after="115"/>
        <w:rPr>
          <w:rFonts w:ascii="Times New Roman" w:hAnsi="Times New Roman" w:cs="Times New Roman"/>
          <w:sz w:val="20"/>
          <w:szCs w:val="20"/>
        </w:rPr>
      </w:pPr>
      <w:r w:rsidRPr="005D45F3">
        <w:rPr>
          <w:rFonts w:ascii="Times New Roman" w:hAnsi="Times New Roman" w:cs="Times New Roman"/>
          <w:b/>
          <w:bCs/>
          <w:sz w:val="20"/>
          <w:szCs w:val="20"/>
        </w:rPr>
        <w:t xml:space="preserve">Chemical Name: </w:t>
      </w:r>
      <w:r w:rsidRPr="005D45F3">
        <w:rPr>
          <w:rFonts w:ascii="Times New Roman" w:hAnsi="Times New Roman" w:cs="Times New Roman"/>
          <w:sz w:val="20"/>
          <w:szCs w:val="20"/>
        </w:rPr>
        <w:t>Enter the complete chemical name. List all components found in the waste container, along with the concentration in percentage by weight or volume.</w:t>
      </w:r>
    </w:p>
    <w:p w14:paraId="3F8F6E03" w14:textId="185E1A5C" w:rsidR="002F7B4D" w:rsidRPr="005D45F3" w:rsidRDefault="002F7B4D" w:rsidP="001310F6">
      <w:pPr>
        <w:pStyle w:val="Default"/>
        <w:numPr>
          <w:ilvl w:val="0"/>
          <w:numId w:val="3"/>
        </w:numPr>
        <w:spacing w:after="115"/>
        <w:rPr>
          <w:rFonts w:ascii="Times New Roman" w:hAnsi="Times New Roman" w:cs="Times New Roman"/>
          <w:sz w:val="20"/>
          <w:szCs w:val="20"/>
        </w:rPr>
      </w:pPr>
      <w:r w:rsidRPr="005D45F3">
        <w:rPr>
          <w:rFonts w:ascii="Times New Roman" w:hAnsi="Times New Roman" w:cs="Times New Roman"/>
          <w:b/>
          <w:bCs/>
          <w:sz w:val="20"/>
          <w:szCs w:val="20"/>
        </w:rPr>
        <w:t xml:space="preserve">Number of Containers: </w:t>
      </w:r>
      <w:r w:rsidRPr="005D45F3">
        <w:rPr>
          <w:rFonts w:ascii="Times New Roman" w:hAnsi="Times New Roman" w:cs="Times New Roman"/>
          <w:sz w:val="20"/>
          <w:szCs w:val="20"/>
        </w:rPr>
        <w:t xml:space="preserve">Enter the total number of containers associated with the chemical name in the previous column. </w:t>
      </w:r>
    </w:p>
    <w:p w14:paraId="6B05E0A5" w14:textId="3380002E" w:rsidR="00933641" w:rsidRPr="005D45F3" w:rsidRDefault="002F7B4D" w:rsidP="001310F6">
      <w:pPr>
        <w:pStyle w:val="Default"/>
        <w:numPr>
          <w:ilvl w:val="0"/>
          <w:numId w:val="3"/>
        </w:numPr>
        <w:spacing w:after="115"/>
        <w:rPr>
          <w:rFonts w:ascii="Times New Roman" w:hAnsi="Times New Roman" w:cs="Times New Roman"/>
          <w:sz w:val="20"/>
          <w:szCs w:val="20"/>
        </w:rPr>
      </w:pPr>
      <w:r w:rsidRPr="005D45F3">
        <w:rPr>
          <w:rFonts w:ascii="Times New Roman" w:hAnsi="Times New Roman" w:cs="Times New Roman"/>
          <w:b/>
          <w:bCs/>
          <w:sz w:val="20"/>
          <w:szCs w:val="20"/>
        </w:rPr>
        <w:t xml:space="preserve">Container Size: </w:t>
      </w:r>
      <w:r w:rsidRPr="005D45F3">
        <w:rPr>
          <w:rFonts w:ascii="Times New Roman" w:hAnsi="Times New Roman" w:cs="Times New Roman"/>
          <w:sz w:val="20"/>
          <w:szCs w:val="20"/>
        </w:rPr>
        <w:t xml:space="preserve">Enter the container size, NOT the amount of material in the container. </w:t>
      </w:r>
    </w:p>
    <w:p w14:paraId="34BCF5FA" w14:textId="0022E202" w:rsidR="00933641" w:rsidRPr="005D45F3" w:rsidRDefault="002F7B4D" w:rsidP="001310F6">
      <w:pPr>
        <w:pStyle w:val="Default"/>
        <w:numPr>
          <w:ilvl w:val="0"/>
          <w:numId w:val="3"/>
        </w:numPr>
        <w:spacing w:after="115"/>
        <w:rPr>
          <w:rFonts w:ascii="Times New Roman" w:hAnsi="Times New Roman" w:cs="Times New Roman"/>
          <w:sz w:val="20"/>
          <w:szCs w:val="20"/>
        </w:rPr>
      </w:pPr>
      <w:r w:rsidRPr="005D45F3">
        <w:rPr>
          <w:rFonts w:ascii="Times New Roman" w:hAnsi="Times New Roman" w:cs="Times New Roman"/>
          <w:b/>
          <w:bCs/>
          <w:sz w:val="20"/>
          <w:szCs w:val="20"/>
        </w:rPr>
        <w:t xml:space="preserve">Net Amount in Container: </w:t>
      </w:r>
      <w:r w:rsidRPr="005D45F3">
        <w:rPr>
          <w:rFonts w:ascii="Times New Roman" w:hAnsi="Times New Roman" w:cs="Times New Roman"/>
          <w:sz w:val="20"/>
          <w:szCs w:val="20"/>
        </w:rPr>
        <w:t xml:space="preserve">Enter the amount of material in the container, NOT the container size. </w:t>
      </w:r>
    </w:p>
    <w:p w14:paraId="6B9B0F24" w14:textId="5492AB04" w:rsidR="002F7B4D" w:rsidRPr="005D45F3" w:rsidRDefault="002F7B4D" w:rsidP="001310F6">
      <w:pPr>
        <w:pStyle w:val="Default"/>
        <w:numPr>
          <w:ilvl w:val="0"/>
          <w:numId w:val="3"/>
        </w:numPr>
        <w:spacing w:after="115"/>
        <w:rPr>
          <w:rFonts w:ascii="Times New Roman" w:hAnsi="Times New Roman" w:cs="Times New Roman"/>
          <w:sz w:val="20"/>
          <w:szCs w:val="20"/>
        </w:rPr>
      </w:pPr>
      <w:r w:rsidRPr="005D45F3">
        <w:rPr>
          <w:rFonts w:ascii="Times New Roman" w:hAnsi="Times New Roman" w:cs="Times New Roman"/>
          <w:b/>
          <w:bCs/>
          <w:sz w:val="20"/>
          <w:szCs w:val="20"/>
        </w:rPr>
        <w:t xml:space="preserve">Physical State: </w:t>
      </w:r>
      <w:r w:rsidRPr="005D45F3">
        <w:rPr>
          <w:rFonts w:ascii="Times New Roman" w:hAnsi="Times New Roman" w:cs="Times New Roman"/>
          <w:sz w:val="20"/>
          <w:szCs w:val="20"/>
        </w:rPr>
        <w:t>Indicate the physical state of the chemical waste: so</w:t>
      </w:r>
      <w:bookmarkStart w:id="0" w:name="_GoBack"/>
      <w:bookmarkEnd w:id="0"/>
      <w:r w:rsidRPr="005D45F3">
        <w:rPr>
          <w:rFonts w:ascii="Times New Roman" w:hAnsi="Times New Roman" w:cs="Times New Roman"/>
          <w:sz w:val="20"/>
          <w:szCs w:val="20"/>
        </w:rPr>
        <w:t xml:space="preserve">lid (S), liquid (L), or gas (G). </w:t>
      </w:r>
    </w:p>
    <w:p w14:paraId="36A0DAE7" w14:textId="326E592E" w:rsidR="002F7B4D" w:rsidRPr="005D45F3" w:rsidRDefault="002F7B4D" w:rsidP="001310F6">
      <w:pPr>
        <w:pStyle w:val="Default"/>
        <w:numPr>
          <w:ilvl w:val="0"/>
          <w:numId w:val="3"/>
        </w:numPr>
        <w:spacing w:after="115"/>
        <w:jc w:val="both"/>
        <w:rPr>
          <w:rFonts w:ascii="Times New Roman" w:hAnsi="Times New Roman" w:cs="Times New Roman"/>
          <w:sz w:val="20"/>
          <w:szCs w:val="20"/>
        </w:rPr>
      </w:pPr>
      <w:r w:rsidRPr="005D45F3">
        <w:rPr>
          <w:rFonts w:ascii="Times New Roman" w:hAnsi="Times New Roman" w:cs="Times New Roman"/>
          <w:b/>
          <w:bCs/>
          <w:sz w:val="20"/>
          <w:szCs w:val="20"/>
        </w:rPr>
        <w:t xml:space="preserve">Contaminants Present: </w:t>
      </w:r>
      <w:r w:rsidRPr="005D45F3">
        <w:rPr>
          <w:rFonts w:ascii="Times New Roman" w:hAnsi="Times New Roman" w:cs="Times New Roman"/>
          <w:sz w:val="20"/>
          <w:szCs w:val="20"/>
        </w:rPr>
        <w:t>Indicate the presence of radioactive isotopes, infectious materials, or any other significant contaminants. If none are present, write “None”.</w:t>
      </w:r>
    </w:p>
    <w:p w14:paraId="5329BF52" w14:textId="2A82C8A7" w:rsidR="002F7B4D" w:rsidRPr="005D45F3" w:rsidRDefault="002F7B4D" w:rsidP="001310F6">
      <w:pPr>
        <w:pStyle w:val="Default"/>
        <w:numPr>
          <w:ilvl w:val="0"/>
          <w:numId w:val="3"/>
        </w:numPr>
        <w:spacing w:after="115"/>
        <w:rPr>
          <w:rFonts w:ascii="Times New Roman" w:hAnsi="Times New Roman" w:cs="Times New Roman"/>
          <w:sz w:val="20"/>
          <w:szCs w:val="20"/>
        </w:rPr>
      </w:pPr>
      <w:r w:rsidRPr="005D45F3">
        <w:rPr>
          <w:rFonts w:ascii="Times New Roman" w:hAnsi="Times New Roman" w:cs="Times New Roman"/>
          <w:b/>
          <w:bCs/>
          <w:sz w:val="20"/>
          <w:szCs w:val="20"/>
        </w:rPr>
        <w:t>Unknown</w:t>
      </w:r>
      <w:r w:rsidR="005D45F3" w:rsidRPr="005D45F3">
        <w:rPr>
          <w:rFonts w:ascii="Times New Roman" w:hAnsi="Times New Roman" w:cs="Times New Roman"/>
          <w:b/>
          <w:bCs/>
          <w:sz w:val="20"/>
          <w:szCs w:val="20"/>
        </w:rPr>
        <w:t xml:space="preserve"> or unlabeled</w:t>
      </w:r>
      <w:r w:rsidRPr="005D45F3">
        <w:rPr>
          <w:rFonts w:ascii="Times New Roman" w:hAnsi="Times New Roman" w:cs="Times New Roman"/>
          <w:b/>
          <w:bCs/>
          <w:sz w:val="20"/>
          <w:szCs w:val="20"/>
        </w:rPr>
        <w:t xml:space="preserve"> chemicals </w:t>
      </w:r>
      <w:r w:rsidR="001310F6" w:rsidRPr="005D45F3">
        <w:rPr>
          <w:rFonts w:ascii="Times New Roman" w:hAnsi="Times New Roman" w:cs="Times New Roman"/>
          <w:sz w:val="20"/>
          <w:szCs w:val="20"/>
        </w:rPr>
        <w:t xml:space="preserve">will not </w:t>
      </w:r>
      <w:r w:rsidR="008C3D18" w:rsidRPr="005D45F3">
        <w:rPr>
          <w:rFonts w:ascii="Times New Roman" w:hAnsi="Times New Roman" w:cs="Times New Roman"/>
          <w:sz w:val="20"/>
          <w:szCs w:val="20"/>
        </w:rPr>
        <w:t xml:space="preserve">be </w:t>
      </w:r>
      <w:r w:rsidR="001310F6" w:rsidRPr="005D45F3">
        <w:rPr>
          <w:rFonts w:ascii="Times New Roman" w:hAnsi="Times New Roman" w:cs="Times New Roman"/>
          <w:sz w:val="20"/>
          <w:szCs w:val="20"/>
        </w:rPr>
        <w:t>collect</w:t>
      </w:r>
      <w:r w:rsidR="008C3D18" w:rsidRPr="005D45F3">
        <w:rPr>
          <w:rFonts w:ascii="Times New Roman" w:hAnsi="Times New Roman" w:cs="Times New Roman"/>
          <w:sz w:val="20"/>
          <w:szCs w:val="20"/>
        </w:rPr>
        <w:t>ed</w:t>
      </w:r>
      <w:r w:rsidR="005D45F3" w:rsidRPr="005D45F3">
        <w:rPr>
          <w:rFonts w:ascii="Times New Roman" w:hAnsi="Times New Roman" w:cs="Times New Roman"/>
          <w:sz w:val="20"/>
          <w:szCs w:val="20"/>
        </w:rPr>
        <w:t xml:space="preserve"> </w:t>
      </w:r>
      <w:r w:rsidR="005D45F3">
        <w:rPr>
          <w:rFonts w:ascii="Times New Roman" w:hAnsi="Times New Roman" w:cs="Times New Roman"/>
          <w:sz w:val="20"/>
          <w:szCs w:val="20"/>
        </w:rPr>
        <w:t xml:space="preserve">until laboratory staff has determined chemical contents. The purpose of this safeguard is to prevent incompatible materials from being combined during the hazardous waste bulking process. We will assist you with identifying the chemical.   </w:t>
      </w:r>
    </w:p>
    <w:p w14:paraId="039D7FE3" w14:textId="64EAF2A0" w:rsidR="002F7B4D" w:rsidRPr="005D45F3" w:rsidRDefault="002F7B4D" w:rsidP="001310F6">
      <w:pPr>
        <w:pStyle w:val="Default"/>
        <w:rPr>
          <w:rFonts w:ascii="Times New Roman" w:hAnsi="Times New Roman" w:cs="Times New Roman"/>
          <w:sz w:val="20"/>
          <w:szCs w:val="20"/>
        </w:rPr>
      </w:pPr>
      <w:r w:rsidRPr="005D45F3">
        <w:rPr>
          <w:rFonts w:ascii="Times New Roman" w:hAnsi="Times New Roman" w:cs="Times New Roman"/>
          <w:b/>
          <w:bCs/>
          <w:sz w:val="20"/>
          <w:szCs w:val="20"/>
        </w:rPr>
        <w:t xml:space="preserve">Waste pickup scheduling. </w:t>
      </w:r>
      <w:r w:rsidRPr="005D45F3">
        <w:rPr>
          <w:rFonts w:ascii="Times New Roman" w:hAnsi="Times New Roman" w:cs="Times New Roman"/>
          <w:sz w:val="20"/>
          <w:szCs w:val="20"/>
        </w:rPr>
        <w:t>Email the completed form to</w:t>
      </w:r>
      <w:r w:rsidR="001B7EE0" w:rsidRPr="005D45F3">
        <w:rPr>
          <w:rFonts w:ascii="Times New Roman" w:hAnsi="Times New Roman" w:cs="Times New Roman"/>
          <w:sz w:val="20"/>
          <w:szCs w:val="20"/>
        </w:rPr>
        <w:t xml:space="preserve"> </w:t>
      </w:r>
      <w:hyperlink r:id="rId10" w:history="1">
        <w:hyperlink r:id="rId11" w:history="1">
          <w:r w:rsidR="001B7EE0" w:rsidRPr="005D45F3">
            <w:rPr>
              <w:rFonts w:ascii="Times New Roman" w:eastAsia="Times New Roman" w:hAnsi="Times New Roman" w:cs="Times New Roman"/>
              <w:color w:val="AB0203"/>
              <w:u w:val="single"/>
              <w:shd w:val="clear" w:color="auto" w:fill="FFFFFF"/>
            </w:rPr>
            <w:t>ehs@usd.edu</w:t>
          </w:r>
        </w:hyperlink>
      </w:hyperlink>
      <w:r w:rsidR="001B7EE0" w:rsidRPr="005D45F3">
        <w:rPr>
          <w:rFonts w:ascii="Times New Roman" w:hAnsi="Times New Roman" w:cs="Times New Roman"/>
          <w:sz w:val="20"/>
          <w:szCs w:val="20"/>
        </w:rPr>
        <w:t>.</w:t>
      </w:r>
      <w:r w:rsidRPr="005D45F3">
        <w:rPr>
          <w:rFonts w:ascii="Times New Roman" w:hAnsi="Times New Roman" w:cs="Times New Roman"/>
          <w:sz w:val="20"/>
          <w:szCs w:val="20"/>
        </w:rPr>
        <w:t xml:space="preserve"> Note any time or access restrictions in the </w:t>
      </w:r>
      <w:r w:rsidR="001B7EE0" w:rsidRPr="005D45F3">
        <w:rPr>
          <w:rFonts w:ascii="Times New Roman" w:hAnsi="Times New Roman" w:cs="Times New Roman"/>
          <w:sz w:val="20"/>
          <w:szCs w:val="20"/>
        </w:rPr>
        <w:t>email</w:t>
      </w:r>
      <w:r w:rsidRPr="005D45F3">
        <w:rPr>
          <w:rFonts w:ascii="Times New Roman" w:hAnsi="Times New Roman" w:cs="Times New Roman"/>
          <w:sz w:val="20"/>
          <w:szCs w:val="20"/>
        </w:rPr>
        <w:t>.</w:t>
      </w:r>
    </w:p>
    <w:p w14:paraId="5A66E9E6" w14:textId="77777777" w:rsidR="002F7B4D" w:rsidRPr="005D45F3" w:rsidRDefault="002F7B4D" w:rsidP="009A5F80">
      <w:pPr>
        <w:rPr>
          <w:rFonts w:ascii="Times New Roman" w:eastAsia="Times New Roman" w:hAnsi="Times New Roman" w:cs="Times New Roman"/>
          <w:sz w:val="28"/>
          <w:szCs w:val="28"/>
        </w:rPr>
      </w:pPr>
    </w:p>
    <w:sectPr w:rsidR="002F7B4D" w:rsidRPr="005D45F3" w:rsidSect="00D079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7982" w14:textId="77777777" w:rsidR="006B1601" w:rsidRDefault="006B1601" w:rsidP="001513D9">
      <w:r>
        <w:separator/>
      </w:r>
    </w:p>
  </w:endnote>
  <w:endnote w:type="continuationSeparator" w:id="0">
    <w:p w14:paraId="07ECBD44" w14:textId="77777777" w:rsidR="006B1601" w:rsidRDefault="006B1601" w:rsidP="001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814F" w14:textId="77777777" w:rsidR="006B1601" w:rsidRDefault="006B1601" w:rsidP="001513D9">
      <w:r>
        <w:separator/>
      </w:r>
    </w:p>
  </w:footnote>
  <w:footnote w:type="continuationSeparator" w:id="0">
    <w:p w14:paraId="61C5C978" w14:textId="77777777" w:rsidR="006B1601" w:rsidRDefault="006B1601" w:rsidP="0015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EB5B" w14:textId="77777777" w:rsidR="001513D9" w:rsidRPr="005D45F3" w:rsidRDefault="001513D9" w:rsidP="001513D9">
    <w:pPr>
      <w:jc w:val="center"/>
      <w:rPr>
        <w:rFonts w:ascii="Times New Roman" w:hAnsi="Times New Roman" w:cs="Times New Roman"/>
        <w:b/>
        <w:bCs/>
        <w:sz w:val="32"/>
        <w:szCs w:val="32"/>
      </w:rPr>
    </w:pPr>
    <w:r w:rsidRPr="005D45F3">
      <w:rPr>
        <w:rFonts w:ascii="Times New Roman" w:hAnsi="Times New Roman" w:cs="Times New Roman"/>
        <w:b/>
        <w:bCs/>
        <w:sz w:val="32"/>
        <w:szCs w:val="32"/>
      </w:rPr>
      <w:t>University of South Dakota Chemical Waste Disposal Request</w:t>
    </w:r>
  </w:p>
  <w:p w14:paraId="485FC8DE" w14:textId="77777777" w:rsidR="001513D9" w:rsidRPr="005D45F3" w:rsidRDefault="001513D9" w:rsidP="001513D9">
    <w:pPr>
      <w:pStyle w:val="Default"/>
      <w:jc w:val="center"/>
      <w:rPr>
        <w:rFonts w:ascii="Times New Roman" w:hAnsi="Times New Roman" w:cs="Times New Roman"/>
        <w:sz w:val="22"/>
        <w:szCs w:val="22"/>
      </w:rPr>
    </w:pPr>
    <w:r w:rsidRPr="005D45F3">
      <w:rPr>
        <w:rFonts w:ascii="Times New Roman" w:hAnsi="Times New Roman" w:cs="Times New Roman"/>
        <w:sz w:val="22"/>
        <w:szCs w:val="22"/>
      </w:rPr>
      <w:t>ENVIRONMENTAL HEALTH AND SAFETY | HAZARDOUS MATERIALS</w:t>
    </w:r>
  </w:p>
  <w:p w14:paraId="33BBCE5C" w14:textId="77777777" w:rsidR="001513D9" w:rsidRPr="001513D9" w:rsidRDefault="001513D9" w:rsidP="0015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C98"/>
    <w:multiLevelType w:val="hybridMultilevel"/>
    <w:tmpl w:val="CFD0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C28C0"/>
    <w:multiLevelType w:val="hybridMultilevel"/>
    <w:tmpl w:val="FCD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A0FF8"/>
    <w:multiLevelType w:val="hybridMultilevel"/>
    <w:tmpl w:val="AF528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25"/>
    <w:rsid w:val="000B772D"/>
    <w:rsid w:val="000D1F93"/>
    <w:rsid w:val="001310F6"/>
    <w:rsid w:val="00140EDB"/>
    <w:rsid w:val="001513D9"/>
    <w:rsid w:val="001905E9"/>
    <w:rsid w:val="001B7EE0"/>
    <w:rsid w:val="002A2A9C"/>
    <w:rsid w:val="002A397F"/>
    <w:rsid w:val="002D4A82"/>
    <w:rsid w:val="002F1ADD"/>
    <w:rsid w:val="002F7B4D"/>
    <w:rsid w:val="00355795"/>
    <w:rsid w:val="00421233"/>
    <w:rsid w:val="00593EB6"/>
    <w:rsid w:val="005D45F3"/>
    <w:rsid w:val="006B1601"/>
    <w:rsid w:val="007B034A"/>
    <w:rsid w:val="00853E7D"/>
    <w:rsid w:val="00856E77"/>
    <w:rsid w:val="00874224"/>
    <w:rsid w:val="008A4AF4"/>
    <w:rsid w:val="008C3D18"/>
    <w:rsid w:val="008F30EB"/>
    <w:rsid w:val="008F5ABB"/>
    <w:rsid w:val="009017AB"/>
    <w:rsid w:val="00933641"/>
    <w:rsid w:val="0096527C"/>
    <w:rsid w:val="009A5F80"/>
    <w:rsid w:val="009D26C9"/>
    <w:rsid w:val="00AD4A9A"/>
    <w:rsid w:val="00B730DE"/>
    <w:rsid w:val="00BF375B"/>
    <w:rsid w:val="00C74C2D"/>
    <w:rsid w:val="00D07919"/>
    <w:rsid w:val="00D73821"/>
    <w:rsid w:val="00DD2325"/>
    <w:rsid w:val="00E538F1"/>
    <w:rsid w:val="00EF2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3E81"/>
  <w15:chartTrackingRefBased/>
  <w15:docId w15:val="{D6463964-4657-5642-9BCC-7486780F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325"/>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DD2325"/>
    <w:rPr>
      <w:color w:val="0000FF"/>
      <w:u w:val="single"/>
    </w:rPr>
  </w:style>
  <w:style w:type="character" w:styleId="CommentReference">
    <w:name w:val="annotation reference"/>
    <w:basedOn w:val="DefaultParagraphFont"/>
    <w:uiPriority w:val="99"/>
    <w:semiHidden/>
    <w:unhideWhenUsed/>
    <w:rsid w:val="009A5F80"/>
    <w:rPr>
      <w:sz w:val="16"/>
      <w:szCs w:val="16"/>
    </w:rPr>
  </w:style>
  <w:style w:type="paragraph" w:styleId="CommentText">
    <w:name w:val="annotation text"/>
    <w:basedOn w:val="Normal"/>
    <w:link w:val="CommentTextChar"/>
    <w:uiPriority w:val="99"/>
    <w:semiHidden/>
    <w:unhideWhenUsed/>
    <w:rsid w:val="009A5F80"/>
    <w:rPr>
      <w:sz w:val="20"/>
      <w:szCs w:val="20"/>
    </w:rPr>
  </w:style>
  <w:style w:type="character" w:customStyle="1" w:styleId="CommentTextChar">
    <w:name w:val="Comment Text Char"/>
    <w:basedOn w:val="DefaultParagraphFont"/>
    <w:link w:val="CommentText"/>
    <w:uiPriority w:val="99"/>
    <w:semiHidden/>
    <w:rsid w:val="009A5F80"/>
    <w:rPr>
      <w:sz w:val="20"/>
      <w:szCs w:val="20"/>
    </w:rPr>
  </w:style>
  <w:style w:type="paragraph" w:styleId="CommentSubject">
    <w:name w:val="annotation subject"/>
    <w:basedOn w:val="CommentText"/>
    <w:next w:val="CommentText"/>
    <w:link w:val="CommentSubjectChar"/>
    <w:uiPriority w:val="99"/>
    <w:semiHidden/>
    <w:unhideWhenUsed/>
    <w:rsid w:val="009A5F80"/>
    <w:rPr>
      <w:b/>
      <w:bCs/>
    </w:rPr>
  </w:style>
  <w:style w:type="character" w:customStyle="1" w:styleId="CommentSubjectChar">
    <w:name w:val="Comment Subject Char"/>
    <w:basedOn w:val="CommentTextChar"/>
    <w:link w:val="CommentSubject"/>
    <w:uiPriority w:val="99"/>
    <w:semiHidden/>
    <w:rsid w:val="009A5F80"/>
    <w:rPr>
      <w:b/>
      <w:bCs/>
      <w:sz w:val="20"/>
      <w:szCs w:val="20"/>
    </w:rPr>
  </w:style>
  <w:style w:type="table" w:styleId="TableGrid">
    <w:name w:val="Table Grid"/>
    <w:basedOn w:val="TableNormal"/>
    <w:uiPriority w:val="39"/>
    <w:rsid w:val="0035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7EE0"/>
    <w:rPr>
      <w:color w:val="605E5C"/>
      <w:shd w:val="clear" w:color="auto" w:fill="E1DFDD"/>
    </w:rPr>
  </w:style>
  <w:style w:type="paragraph" w:styleId="BalloonText">
    <w:name w:val="Balloon Text"/>
    <w:basedOn w:val="Normal"/>
    <w:link w:val="BalloonTextChar"/>
    <w:uiPriority w:val="99"/>
    <w:semiHidden/>
    <w:unhideWhenUsed/>
    <w:rsid w:val="008F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EB"/>
    <w:rPr>
      <w:rFonts w:ascii="Segoe UI" w:hAnsi="Segoe UI" w:cs="Segoe UI"/>
      <w:sz w:val="18"/>
      <w:szCs w:val="18"/>
    </w:rPr>
  </w:style>
  <w:style w:type="paragraph" w:styleId="Header">
    <w:name w:val="header"/>
    <w:basedOn w:val="Normal"/>
    <w:link w:val="HeaderChar"/>
    <w:uiPriority w:val="99"/>
    <w:unhideWhenUsed/>
    <w:rsid w:val="001513D9"/>
    <w:pPr>
      <w:tabs>
        <w:tab w:val="center" w:pos="4680"/>
        <w:tab w:val="right" w:pos="9360"/>
      </w:tabs>
    </w:pPr>
  </w:style>
  <w:style w:type="character" w:customStyle="1" w:styleId="HeaderChar">
    <w:name w:val="Header Char"/>
    <w:basedOn w:val="DefaultParagraphFont"/>
    <w:link w:val="Header"/>
    <w:uiPriority w:val="99"/>
    <w:rsid w:val="001513D9"/>
  </w:style>
  <w:style w:type="paragraph" w:styleId="Footer">
    <w:name w:val="footer"/>
    <w:basedOn w:val="Normal"/>
    <w:link w:val="FooterChar"/>
    <w:uiPriority w:val="99"/>
    <w:unhideWhenUsed/>
    <w:rsid w:val="001513D9"/>
    <w:pPr>
      <w:tabs>
        <w:tab w:val="center" w:pos="4680"/>
        <w:tab w:val="right" w:pos="9360"/>
      </w:tabs>
    </w:pPr>
  </w:style>
  <w:style w:type="character" w:customStyle="1" w:styleId="FooterChar">
    <w:name w:val="Footer Char"/>
    <w:basedOn w:val="DefaultParagraphFont"/>
    <w:link w:val="Footer"/>
    <w:uiPriority w:val="99"/>
    <w:rsid w:val="0015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us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usd.edu" TargetMode="External"/><Relationship Id="rId5" Type="http://schemas.openxmlformats.org/officeDocument/2006/relationships/webSettings" Target="webSettings.xml"/><Relationship Id="rId10" Type="http://schemas.openxmlformats.org/officeDocument/2006/relationships/hyperlink" Target="mailto:ehs@usd.edu" TargetMode="External"/><Relationship Id="rId4" Type="http://schemas.openxmlformats.org/officeDocument/2006/relationships/settings" Target="settings.xml"/><Relationship Id="rId9" Type="http://schemas.openxmlformats.org/officeDocument/2006/relationships/hyperlink" Target="mailto:ehs@us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B260-78E0-4A44-9D93-2A799D80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Fasihianifard, Parisa</dc:creator>
  <cp:keywords/>
  <dc:description/>
  <cp:lastModifiedBy>Pottorff, Scott J</cp:lastModifiedBy>
  <cp:revision>5</cp:revision>
  <cp:lastPrinted>2021-12-13T22:56:00Z</cp:lastPrinted>
  <dcterms:created xsi:type="dcterms:W3CDTF">2021-12-14T14:30:00Z</dcterms:created>
  <dcterms:modified xsi:type="dcterms:W3CDTF">2021-12-14T14:41:00Z</dcterms:modified>
</cp:coreProperties>
</file>